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40" w:rsidRDefault="009A7B0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Алтернативно обществено обсъждане на изграждане на </w:t>
      </w:r>
      <w:proofErr w:type="spellStart"/>
      <w:r>
        <w:rPr>
          <w:b/>
          <w:sz w:val="24"/>
          <w:szCs w:val="24"/>
        </w:rPr>
        <w:t>инсинератор</w:t>
      </w:r>
      <w:proofErr w:type="spellEnd"/>
      <w:r>
        <w:rPr>
          <w:b/>
          <w:sz w:val="24"/>
          <w:szCs w:val="24"/>
        </w:rPr>
        <w:t xml:space="preserve"> в София</w:t>
      </w:r>
    </w:p>
    <w:p w:rsidR="008E0F40" w:rsidRDefault="009A7B0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Резюме</w:t>
      </w:r>
    </w:p>
    <w:p w:rsidR="008E0F40" w:rsidRDefault="008E0F40">
      <w:pPr>
        <w:spacing w:after="120"/>
        <w:rPr>
          <w:sz w:val="24"/>
          <w:szCs w:val="24"/>
        </w:rPr>
      </w:pPr>
    </w:p>
    <w:p w:rsidR="008E0F40" w:rsidRDefault="009A7B03">
      <w:pPr>
        <w:spacing w:after="120"/>
        <w:rPr>
          <w:rFonts w:cs="Arial"/>
          <w:sz w:val="24"/>
          <w:szCs w:val="24"/>
          <w:highlight w:val="white"/>
        </w:rPr>
      </w:pPr>
      <w:r>
        <w:rPr>
          <w:sz w:val="24"/>
          <w:szCs w:val="24"/>
        </w:rPr>
        <w:t>До ден днешен Столична община така и не предостави на софиянци необходимата информация за проекта за изграждане на</w:t>
      </w:r>
      <w:r>
        <w:rPr>
          <w:rFonts w:cs="Arial"/>
          <w:sz w:val="24"/>
          <w:szCs w:val="24"/>
          <w:shd w:val="clear" w:color="auto" w:fill="FFFFFF"/>
        </w:rPr>
        <w:t xml:space="preserve"> инсталация за комбинирано производство на енергия в София с оползотворяване на гориво от отпадъци, за което иска да поеме дълг от 130 млн. лева. Това е нарушение на</w:t>
      </w:r>
      <w:r>
        <w:rPr>
          <w:rFonts w:cs="Arial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="Arial"/>
          <w:sz w:val="24"/>
          <w:szCs w:val="24"/>
          <w:shd w:val="clear" w:color="auto" w:fill="FFFFFF"/>
        </w:rPr>
        <w:t xml:space="preserve">Закона за общинския дълг. </w:t>
      </w:r>
    </w:p>
    <w:p w:rsidR="008E0F40" w:rsidRDefault="009A7B03">
      <w:pPr>
        <w:spacing w:after="120"/>
        <w:rPr>
          <w:sz w:val="24"/>
          <w:szCs w:val="24"/>
        </w:rPr>
      </w:pPr>
      <w:r>
        <w:rPr>
          <w:rFonts w:cs="Arial"/>
          <w:sz w:val="24"/>
          <w:szCs w:val="24"/>
          <w:shd w:val="clear" w:color="auto" w:fill="FFFFFF"/>
        </w:rPr>
        <w:t xml:space="preserve">От общинските </w:t>
      </w:r>
      <w:proofErr w:type="spellStart"/>
      <w:r>
        <w:rPr>
          <w:rFonts w:cs="Arial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cs="Arial"/>
          <w:sz w:val="24"/>
          <w:szCs w:val="24"/>
          <w:shd w:val="clear" w:color="auto" w:fill="FFFFFF"/>
        </w:rPr>
        <w:t xml:space="preserve"> достъп до проектната документация са по</w:t>
      </w:r>
      <w:r>
        <w:rPr>
          <w:rFonts w:cs="Arial"/>
          <w:sz w:val="24"/>
          <w:szCs w:val="24"/>
          <w:shd w:val="clear" w:color="auto" w:fill="FFFFFF"/>
        </w:rPr>
        <w:t xml:space="preserve">лучили единствено членовете на Комисията по околна среда, и то само </w:t>
      </w:r>
      <w:r>
        <w:rPr>
          <w:sz w:val="24"/>
          <w:szCs w:val="24"/>
        </w:rPr>
        <w:t>ако подпишат споразумение за поверителност, което също няма правно основание.</w:t>
      </w:r>
    </w:p>
    <w:p w:rsidR="008E0F40" w:rsidRDefault="009A7B03">
      <w:pPr>
        <w:spacing w:after="120"/>
        <w:rPr>
          <w:sz w:val="24"/>
          <w:szCs w:val="24"/>
        </w:rPr>
      </w:pPr>
      <w:r>
        <w:rPr>
          <w:sz w:val="24"/>
          <w:szCs w:val="24"/>
        </w:rPr>
        <w:t>Защо СО крие информацията? Защото инсталацията за горене на отпадъци насред София е опасна за здравето на софи</w:t>
      </w:r>
      <w:r>
        <w:rPr>
          <w:sz w:val="24"/>
          <w:szCs w:val="24"/>
        </w:rPr>
        <w:t>янци и финансово неизгодна. Това става ясно и от малкото, което знаем.</w:t>
      </w:r>
    </w:p>
    <w:p w:rsidR="008E0F40" w:rsidRDefault="009A7B0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Инсталацията е опасна за здравето </w:t>
      </w:r>
    </w:p>
    <w:p w:rsidR="008E0F40" w:rsidRDefault="009A7B03">
      <w:pPr>
        <w:spacing w:after="1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  <w:lang w:val="en-US"/>
        </w:rPr>
        <w:t>RDF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е гориво от отпадъци.</w:t>
      </w:r>
      <w:proofErr w:type="gramEnd"/>
      <w:r>
        <w:rPr>
          <w:sz w:val="24"/>
          <w:szCs w:val="24"/>
        </w:rPr>
        <w:t xml:space="preserve"> Колкото повече пластмаса, текстил и картон има в него, толкова по-добре гори. При изгарянето на пластмаса под 1200 градуса н</w:t>
      </w:r>
      <w:r>
        <w:rPr>
          <w:sz w:val="24"/>
          <w:szCs w:val="24"/>
        </w:rPr>
        <w:t xml:space="preserve">еизбежно се отделят </w:t>
      </w:r>
      <w:proofErr w:type="spellStart"/>
      <w:r>
        <w:rPr>
          <w:sz w:val="24"/>
          <w:szCs w:val="24"/>
        </w:rPr>
        <w:t>диоксини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фурани</w:t>
      </w:r>
      <w:proofErr w:type="spellEnd"/>
      <w:r>
        <w:rPr>
          <w:sz w:val="24"/>
          <w:szCs w:val="24"/>
        </w:rPr>
        <w:t xml:space="preserve">. Те попадат във въздуха като газ, пари или свързани с частици – сажди, пепел, прах, капки. Времето им на </w:t>
      </w:r>
      <w:proofErr w:type="spellStart"/>
      <w:r>
        <w:rPr>
          <w:sz w:val="24"/>
          <w:szCs w:val="24"/>
        </w:rPr>
        <w:t>полуживот</w:t>
      </w:r>
      <w:proofErr w:type="spellEnd"/>
      <w:r>
        <w:rPr>
          <w:sz w:val="24"/>
          <w:szCs w:val="24"/>
        </w:rPr>
        <w:t xml:space="preserve"> в приземния слой може да достигне до 100 години. Според </w:t>
      </w:r>
      <w:r>
        <w:rPr>
          <w:rFonts w:cs="Arial"/>
          <w:sz w:val="24"/>
          <w:szCs w:val="24"/>
        </w:rPr>
        <w:t>Международната агенция по изследване на рака (</w:t>
      </w:r>
      <w:proofErr w:type="spellStart"/>
      <w:r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>ARC</w:t>
      </w:r>
      <w:proofErr w:type="spellEnd"/>
      <w:r>
        <w:rPr>
          <w:rFonts w:cs="Arial"/>
          <w:sz w:val="24"/>
          <w:szCs w:val="24"/>
        </w:rPr>
        <w:t xml:space="preserve">) част от </w:t>
      </w:r>
      <w:proofErr w:type="spellStart"/>
      <w:r>
        <w:rPr>
          <w:rFonts w:cs="Arial"/>
          <w:sz w:val="24"/>
          <w:szCs w:val="24"/>
        </w:rPr>
        <w:t>диоксините</w:t>
      </w:r>
      <w:proofErr w:type="spellEnd"/>
      <w:r>
        <w:rPr>
          <w:rFonts w:cs="Arial"/>
          <w:sz w:val="24"/>
          <w:szCs w:val="24"/>
        </w:rPr>
        <w:t xml:space="preserve"> са с доказан, а </w:t>
      </w:r>
      <w:proofErr w:type="spellStart"/>
      <w:r>
        <w:rPr>
          <w:rFonts w:cs="Arial"/>
          <w:sz w:val="24"/>
          <w:szCs w:val="24"/>
        </w:rPr>
        <w:t>фураните</w:t>
      </w:r>
      <w:proofErr w:type="spellEnd"/>
      <w:r>
        <w:rPr>
          <w:rFonts w:cs="Arial"/>
          <w:sz w:val="24"/>
          <w:szCs w:val="24"/>
        </w:rPr>
        <w:t xml:space="preserve"> са с възможен </w:t>
      </w:r>
      <w:proofErr w:type="spellStart"/>
      <w:r>
        <w:rPr>
          <w:rFonts w:cs="Arial"/>
          <w:sz w:val="24"/>
          <w:szCs w:val="24"/>
        </w:rPr>
        <w:t>канцероген</w:t>
      </w:r>
      <w:proofErr w:type="spellEnd"/>
      <w:r>
        <w:rPr>
          <w:rFonts w:cs="Arial"/>
          <w:sz w:val="24"/>
          <w:szCs w:val="24"/>
        </w:rPr>
        <w:t xml:space="preserve"> ефект. </w:t>
      </w:r>
      <w:r>
        <w:rPr>
          <w:sz w:val="24"/>
          <w:szCs w:val="24"/>
        </w:rPr>
        <w:t xml:space="preserve">Постъпили в човешкия организъм дори и в много ниска концентрация, те не се отделят с урината, а се натрупват в мастната тъкан, кръвта и майчиното мляко. </w:t>
      </w:r>
      <w:r>
        <w:rPr>
          <w:rFonts w:cs="Arial"/>
          <w:sz w:val="24"/>
          <w:szCs w:val="24"/>
        </w:rPr>
        <w:t>Най-чувствителни групи</w:t>
      </w:r>
      <w:r>
        <w:rPr>
          <w:rFonts w:cs="Arial"/>
          <w:sz w:val="24"/>
          <w:szCs w:val="24"/>
        </w:rPr>
        <w:t xml:space="preserve"> са бременните жени и особено новородените бебета, при които и нищожни количества могат да предизвикат </w:t>
      </w:r>
      <w:proofErr w:type="spellStart"/>
      <w:r>
        <w:rPr>
          <w:rFonts w:cs="Arial"/>
          <w:sz w:val="24"/>
          <w:szCs w:val="24"/>
        </w:rPr>
        <w:t>малформации</w:t>
      </w:r>
      <w:proofErr w:type="spellEnd"/>
      <w:r>
        <w:rPr>
          <w:rFonts w:cs="Arial"/>
          <w:sz w:val="24"/>
          <w:szCs w:val="24"/>
        </w:rPr>
        <w:t>.</w:t>
      </w:r>
    </w:p>
    <w:p w:rsidR="008E0F40" w:rsidRDefault="009A7B03">
      <w:pPr>
        <w:shd w:val="clear" w:color="auto" w:fill="FFFFFF"/>
        <w:spacing w:after="120"/>
        <w:textAlignment w:val="baseline"/>
        <w:rPr>
          <w:rFonts w:eastAsia="Times New Roman" w:cs="Arial"/>
          <w:sz w:val="24"/>
          <w:szCs w:val="24"/>
          <w:lang w:eastAsia="bg-BG"/>
        </w:rPr>
      </w:pPr>
      <w:r>
        <w:rPr>
          <w:sz w:val="24"/>
          <w:szCs w:val="24"/>
        </w:rPr>
        <w:t xml:space="preserve">В София няма развита култура за разделно събиране на отпадъците. В боклука ни редовно попадат и опасни отпадъци, като </w:t>
      </w:r>
      <w:r>
        <w:rPr>
          <w:rFonts w:eastAsia="Times New Roman" w:cs="Arial"/>
          <w:sz w:val="24"/>
          <w:szCs w:val="24"/>
          <w:lang w:eastAsia="bg-BG"/>
        </w:rPr>
        <w:t>домакински препарати и</w:t>
      </w:r>
      <w:r>
        <w:rPr>
          <w:rFonts w:eastAsia="Times New Roman" w:cs="Arial"/>
          <w:sz w:val="24"/>
          <w:szCs w:val="24"/>
          <w:lang w:eastAsia="bg-BG"/>
        </w:rPr>
        <w:t xml:space="preserve"> химикали, живачни крушки, лекарства и </w:t>
      </w:r>
      <w:proofErr w:type="spellStart"/>
      <w:r>
        <w:rPr>
          <w:rFonts w:eastAsia="Times New Roman" w:cs="Arial"/>
          <w:sz w:val="24"/>
          <w:szCs w:val="24"/>
          <w:lang w:eastAsia="bg-BG"/>
        </w:rPr>
        <w:t>блистери</w:t>
      </w:r>
      <w:proofErr w:type="spellEnd"/>
      <w:r>
        <w:rPr>
          <w:rFonts w:eastAsia="Times New Roman" w:cs="Arial"/>
          <w:sz w:val="24"/>
          <w:szCs w:val="24"/>
          <w:lang w:eastAsia="bg-BG"/>
        </w:rPr>
        <w:t>, както и батерии и части на електроуреди. При изгарянето им може да се отдели какво ли не. Със сигурност ще има високи количества тежки метали (</w:t>
      </w:r>
      <w:r>
        <w:rPr>
          <w:rFonts w:cs="Arial"/>
          <w:sz w:val="24"/>
          <w:szCs w:val="24"/>
          <w:shd w:val="clear" w:color="auto" w:fill="FFFFFF"/>
        </w:rPr>
        <w:t>кадмий, олово, живак и др.), азотни оксиди и коктейл от органичн</w:t>
      </w:r>
      <w:r>
        <w:rPr>
          <w:rFonts w:cs="Arial"/>
          <w:sz w:val="24"/>
          <w:szCs w:val="24"/>
          <w:shd w:val="clear" w:color="auto" w:fill="FFFFFF"/>
        </w:rPr>
        <w:t>и химикали. Всички те поразяват имунната система и причиняват преждевременна смърт от ракови, сърдечно-съдови, мозъчно-съдови и белодробни заболявания.</w:t>
      </w:r>
    </w:p>
    <w:p w:rsidR="008E0F40" w:rsidRDefault="009A7B0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Ето това ще съдържат 35-те килограма </w:t>
      </w:r>
      <w:proofErr w:type="spellStart"/>
      <w:r>
        <w:rPr>
          <w:sz w:val="24"/>
          <w:szCs w:val="24"/>
        </w:rPr>
        <w:t>ФПЧ</w:t>
      </w:r>
      <w:proofErr w:type="spellEnd"/>
      <w:r>
        <w:rPr>
          <w:sz w:val="24"/>
          <w:szCs w:val="24"/>
        </w:rPr>
        <w:t>, които, според проекта, всеки ден ще излизат от комина на инста</w:t>
      </w:r>
      <w:r>
        <w:rPr>
          <w:sz w:val="24"/>
          <w:szCs w:val="24"/>
        </w:rPr>
        <w:t xml:space="preserve">лацията. Не е ясно какво ще е количеството </w:t>
      </w:r>
      <w:proofErr w:type="spellStart"/>
      <w:r>
        <w:rPr>
          <w:sz w:val="24"/>
          <w:szCs w:val="24"/>
        </w:rPr>
        <w:t>ФПЧ</w:t>
      </w:r>
      <w:proofErr w:type="spellEnd"/>
      <w:r>
        <w:rPr>
          <w:sz w:val="24"/>
          <w:szCs w:val="24"/>
        </w:rPr>
        <w:t xml:space="preserve"> под 2,5 микрона (за тях ефективността на филтъра е 3-5%), и най-опасните – </w:t>
      </w:r>
      <w:proofErr w:type="spellStart"/>
      <w:r>
        <w:rPr>
          <w:sz w:val="24"/>
          <w:szCs w:val="24"/>
        </w:rPr>
        <w:t>ултра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ФПЧ</w:t>
      </w:r>
      <w:proofErr w:type="spellEnd"/>
      <w:r>
        <w:rPr>
          <w:sz w:val="24"/>
          <w:szCs w:val="24"/>
        </w:rPr>
        <w:t xml:space="preserve">, които </w:t>
      </w:r>
      <w:proofErr w:type="spellStart"/>
      <w:r>
        <w:rPr>
          <w:sz w:val="24"/>
          <w:szCs w:val="24"/>
        </w:rPr>
        <w:t>ръкавните</w:t>
      </w:r>
      <w:proofErr w:type="spellEnd"/>
      <w:r>
        <w:rPr>
          <w:sz w:val="24"/>
          <w:szCs w:val="24"/>
        </w:rPr>
        <w:t xml:space="preserve"> филтри няма да улавят. Азотните оксиди са също проблем – предвидената сравнително по-евтина и неефективна с</w:t>
      </w:r>
      <w:r>
        <w:rPr>
          <w:sz w:val="24"/>
          <w:szCs w:val="24"/>
        </w:rPr>
        <w:t>истема за редукция им е в разрез с новоприетите в ЕС високи изисквания за емисиите на тези газове на национално ниво.</w:t>
      </w:r>
    </w:p>
    <w:p w:rsidR="008E0F40" w:rsidRDefault="009A7B03">
      <w:p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Допълнително значително замърсяване на софийския въздух ще дойде и от превоза на 8 000 токсична котлена пепел и </w:t>
      </w:r>
      <w:r>
        <w:rPr>
          <w:rStyle w:val="Strong"/>
          <w:rFonts w:cs="Arial"/>
          <w:b w:val="0"/>
          <w:bCs w:val="0"/>
          <w:sz w:val="24"/>
          <w:szCs w:val="24"/>
          <w:shd w:val="clear" w:color="auto" w:fill="FFFFFF"/>
        </w:rPr>
        <w:t>36 000 т шлака </w:t>
      </w:r>
      <w:r>
        <w:rPr>
          <w:rFonts w:cs="Arial"/>
          <w:sz w:val="24"/>
          <w:szCs w:val="24"/>
          <w:shd w:val="clear" w:color="auto" w:fill="FFFFFF"/>
        </w:rPr>
        <w:t>годишно – н</w:t>
      </w:r>
      <w:r>
        <w:rPr>
          <w:rFonts w:cs="Arial"/>
          <w:sz w:val="24"/>
          <w:szCs w:val="24"/>
          <w:shd w:val="clear" w:color="auto" w:fill="FFFFFF"/>
        </w:rPr>
        <w:t>еобходими са</w:t>
      </w:r>
      <w:r>
        <w:rPr>
          <w:sz w:val="24"/>
          <w:szCs w:val="24"/>
        </w:rPr>
        <w:t xml:space="preserve"> 20 000 курса на 12-тонни камиони, които ще преминават през кварталите “Хаджи Димитър“, „Орландовци“ и „Бенковски“. Шумът, задръстванията и щети по инфраструктурата са бонус към газовете, които камионите ще бълват.</w:t>
      </w:r>
    </w:p>
    <w:p w:rsidR="008E0F40" w:rsidRDefault="009A7B0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А замърсяването на въздуха в </w:t>
      </w:r>
      <w:r>
        <w:rPr>
          <w:sz w:val="24"/>
          <w:szCs w:val="24"/>
        </w:rPr>
        <w:t xml:space="preserve">София е и без това много над нормите. Според данните на </w:t>
      </w:r>
      <w:proofErr w:type="spellStart"/>
      <w:r>
        <w:rPr>
          <w:rFonts w:cs="Arial"/>
          <w:sz w:val="24"/>
          <w:szCs w:val="24"/>
          <w:shd w:val="clear" w:color="auto" w:fill="FFFFFF"/>
        </w:rPr>
        <w:t>AirBG</w:t>
      </w:r>
      <w:proofErr w:type="spellEnd"/>
      <w:r>
        <w:rPr>
          <w:rFonts w:cs="Arial"/>
          <w:sz w:val="24"/>
          <w:szCs w:val="24"/>
          <w:shd w:val="clear" w:color="auto" w:fill="FFFFFF"/>
        </w:rPr>
        <w:t>.</w:t>
      </w:r>
      <w:proofErr w:type="spellStart"/>
      <w:r>
        <w:rPr>
          <w:rFonts w:cs="Arial"/>
          <w:sz w:val="24"/>
          <w:szCs w:val="24"/>
          <w:shd w:val="clear" w:color="auto" w:fill="FFFFFF"/>
        </w:rPr>
        <w:t>Info</w:t>
      </w:r>
      <w:proofErr w:type="spellEnd"/>
      <w:r>
        <w:rPr>
          <w:rFonts w:cs="Arial"/>
          <w:sz w:val="24"/>
          <w:szCs w:val="24"/>
          <w:shd w:val="clear" w:color="auto" w:fill="FFFFFF"/>
        </w:rPr>
        <w:t xml:space="preserve"> в периода </w:t>
      </w:r>
      <w:r>
        <w:rPr>
          <w:sz w:val="24"/>
          <w:szCs w:val="24"/>
        </w:rPr>
        <w:t xml:space="preserve">от 1 януари до 14 март 36 дни са с над 78 </w:t>
      </w:r>
      <w:proofErr w:type="spellStart"/>
      <w:r>
        <w:rPr>
          <w:rFonts w:cs="Arial"/>
          <w:sz w:val="24"/>
          <w:szCs w:val="24"/>
          <w:shd w:val="clear" w:color="auto" w:fill="FFFFFF"/>
        </w:rPr>
        <w:t>мкг</w:t>
      </w:r>
      <w:proofErr w:type="spellEnd"/>
      <w:r>
        <w:rPr>
          <w:rFonts w:cs="Arial"/>
          <w:sz w:val="24"/>
          <w:szCs w:val="24"/>
          <w:shd w:val="clear" w:color="auto" w:fill="FFFFFF"/>
        </w:rPr>
        <w:t>/м</w:t>
      </w:r>
      <w:r>
        <w:rPr>
          <w:rFonts w:cs="Arial"/>
          <w:sz w:val="24"/>
          <w:szCs w:val="24"/>
          <w:shd w:val="clear" w:color="auto" w:fill="FFFFFF"/>
          <w:vertAlign w:val="superscript"/>
        </w:rPr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ФПЧ</w:t>
      </w:r>
      <w:proofErr w:type="spellEnd"/>
      <w:r>
        <w:rPr>
          <w:sz w:val="24"/>
          <w:szCs w:val="24"/>
        </w:rPr>
        <w:t xml:space="preserve">, 13 дни са със 118 </w:t>
      </w:r>
      <w:proofErr w:type="spellStart"/>
      <w:r>
        <w:rPr>
          <w:rFonts w:cs="Arial"/>
          <w:sz w:val="24"/>
          <w:szCs w:val="24"/>
          <w:shd w:val="clear" w:color="auto" w:fill="FFFFFF"/>
        </w:rPr>
        <w:t>мкг</w:t>
      </w:r>
      <w:proofErr w:type="spellEnd"/>
      <w:r>
        <w:rPr>
          <w:rFonts w:cs="Arial"/>
          <w:sz w:val="24"/>
          <w:szCs w:val="24"/>
          <w:shd w:val="clear" w:color="auto" w:fill="FFFFFF"/>
        </w:rPr>
        <w:t>/м</w:t>
      </w:r>
      <w:r>
        <w:rPr>
          <w:rFonts w:cs="Arial"/>
          <w:sz w:val="24"/>
          <w:szCs w:val="24"/>
          <w:shd w:val="clear" w:color="auto" w:fill="FFFFFF"/>
          <w:vertAlign w:val="superscript"/>
        </w:rPr>
        <w:t>3</w:t>
      </w:r>
      <w:r>
        <w:rPr>
          <w:sz w:val="24"/>
          <w:szCs w:val="24"/>
        </w:rPr>
        <w:t xml:space="preserve"> и 10 дни са с 279 </w:t>
      </w:r>
      <w:proofErr w:type="spellStart"/>
      <w:r>
        <w:rPr>
          <w:rFonts w:cs="Arial"/>
          <w:sz w:val="24"/>
          <w:szCs w:val="24"/>
          <w:shd w:val="clear" w:color="auto" w:fill="FFFFFF"/>
        </w:rPr>
        <w:t>мкг</w:t>
      </w:r>
      <w:proofErr w:type="spellEnd"/>
      <w:r>
        <w:rPr>
          <w:rFonts w:cs="Arial"/>
          <w:sz w:val="24"/>
          <w:szCs w:val="24"/>
          <w:shd w:val="clear" w:color="auto" w:fill="FFFFFF"/>
        </w:rPr>
        <w:t>/м</w:t>
      </w:r>
      <w:r>
        <w:rPr>
          <w:rFonts w:cs="Arial"/>
          <w:sz w:val="24"/>
          <w:szCs w:val="24"/>
          <w:shd w:val="clear" w:color="auto" w:fill="FFFFFF"/>
          <w:vertAlign w:val="superscript"/>
        </w:rPr>
        <w:t>3</w:t>
      </w:r>
      <w:r>
        <w:rPr>
          <w:sz w:val="24"/>
          <w:szCs w:val="24"/>
        </w:rPr>
        <w:t xml:space="preserve">, при пределно допустима концентрация от 50! През април 2017 г. Съдът на ЕС в Люксембург осъди България  заради </w:t>
      </w:r>
      <w:r>
        <w:rPr>
          <w:rStyle w:val="Strong"/>
          <w:b w:val="0"/>
          <w:sz w:val="24"/>
          <w:szCs w:val="24"/>
        </w:rPr>
        <w:t>постоянното неспазване от 2007 г. до 2014 г.</w:t>
      </w:r>
      <w:r>
        <w:rPr>
          <w:sz w:val="24"/>
          <w:szCs w:val="24"/>
        </w:rPr>
        <w:t xml:space="preserve">, както на годишните, така и на дневните пределно допустими стойности за концентрациите на </w:t>
      </w:r>
      <w:proofErr w:type="spellStart"/>
      <w:r>
        <w:rPr>
          <w:sz w:val="24"/>
          <w:szCs w:val="24"/>
        </w:rPr>
        <w:t>прахови</w:t>
      </w:r>
      <w:proofErr w:type="spellEnd"/>
      <w:r>
        <w:rPr>
          <w:sz w:val="24"/>
          <w:szCs w:val="24"/>
        </w:rPr>
        <w:t xml:space="preserve"> ч</w:t>
      </w:r>
      <w:r>
        <w:rPr>
          <w:sz w:val="24"/>
          <w:szCs w:val="24"/>
        </w:rPr>
        <w:t xml:space="preserve">астици в няколко града и зони, вкл. </w:t>
      </w:r>
      <w:r>
        <w:rPr>
          <w:bCs/>
          <w:sz w:val="24"/>
          <w:szCs w:val="24"/>
        </w:rPr>
        <w:t xml:space="preserve">София. </w:t>
      </w:r>
      <w:r>
        <w:rPr>
          <w:sz w:val="24"/>
          <w:szCs w:val="24"/>
        </w:rPr>
        <w:t>Така изпадаме в абсурдната ситуация за плащаме глоби за мръсен въздух, който правим още по-мръсен.</w:t>
      </w:r>
    </w:p>
    <w:p w:rsidR="008E0F40" w:rsidRDefault="009A7B0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Резултатът от работата на </w:t>
      </w:r>
      <w:proofErr w:type="spellStart"/>
      <w:r>
        <w:rPr>
          <w:sz w:val="24"/>
          <w:szCs w:val="24"/>
        </w:rPr>
        <w:t>инсинератора</w:t>
      </w:r>
      <w:proofErr w:type="spellEnd"/>
      <w:r>
        <w:rPr>
          <w:sz w:val="24"/>
          <w:szCs w:val="24"/>
        </w:rPr>
        <w:t xml:space="preserve"> ще бъде повишена заболеваемост и влошено качество на средата на обитаване в</w:t>
      </w:r>
      <w:r>
        <w:rPr>
          <w:sz w:val="24"/>
          <w:szCs w:val="24"/>
        </w:rPr>
        <w:t xml:space="preserve"> целия град. </w:t>
      </w:r>
      <w:r>
        <w:rPr>
          <w:rFonts w:cs="Arial"/>
          <w:sz w:val="24"/>
          <w:szCs w:val="24"/>
        </w:rPr>
        <w:t>Не случайно в Доклада по оценка на въздействието върху околната среда на проекта липсва оценка на рисковете за здравето на живеещите не само в най-близките до инсталацията квартали, но и в рамките на града и се оценява единствено рискът за 600</w:t>
      </w:r>
      <w:r>
        <w:rPr>
          <w:rFonts w:cs="Arial"/>
          <w:sz w:val="24"/>
          <w:szCs w:val="24"/>
        </w:rPr>
        <w:t>-те души, които работят на площадката на ТЕЦ София.</w:t>
      </w:r>
    </w:p>
    <w:p w:rsidR="008E0F40" w:rsidRDefault="009A7B0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Инсталацията е икономически неизгодна </w:t>
      </w:r>
    </w:p>
    <w:p w:rsidR="008E0F40" w:rsidRDefault="009A7B0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Това, което ни е известно за финансовите параметри на проекта е, че СО възнамерява да построи и експлоатира  инсталацията със средства по </w:t>
      </w:r>
      <w:proofErr w:type="spellStart"/>
      <w:r>
        <w:rPr>
          <w:sz w:val="24"/>
          <w:szCs w:val="24"/>
        </w:rPr>
        <w:t>ОПОС</w:t>
      </w:r>
      <w:proofErr w:type="spellEnd"/>
      <w:r>
        <w:rPr>
          <w:sz w:val="24"/>
          <w:szCs w:val="24"/>
        </w:rPr>
        <w:t xml:space="preserve"> под формата на </w:t>
      </w:r>
      <w:proofErr w:type="spellStart"/>
      <w:r>
        <w:rPr>
          <w:sz w:val="24"/>
          <w:szCs w:val="24"/>
        </w:rPr>
        <w:t>грант</w:t>
      </w:r>
      <w:proofErr w:type="spellEnd"/>
      <w:r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т 92 мил. евро и заем от Европейската инвестиционна банка от 67 мил. евро със срок на изплащане от 19 г. и 4 г. </w:t>
      </w:r>
      <w:proofErr w:type="spellStart"/>
      <w:r>
        <w:rPr>
          <w:sz w:val="24"/>
          <w:szCs w:val="24"/>
        </w:rPr>
        <w:t>гратисен</w:t>
      </w:r>
      <w:proofErr w:type="spellEnd"/>
      <w:r>
        <w:rPr>
          <w:sz w:val="24"/>
          <w:szCs w:val="24"/>
        </w:rPr>
        <w:t xml:space="preserve"> период, през които ще се дължат само лихви. Индикативен лихвен процент – 1,5% при сегашните равнища.</w:t>
      </w:r>
    </w:p>
    <w:p w:rsidR="008E0F40" w:rsidRDefault="009A7B03">
      <w:pPr>
        <w:spacing w:after="120"/>
        <w:rPr>
          <w:sz w:val="24"/>
          <w:szCs w:val="24"/>
        </w:rPr>
      </w:pPr>
      <w:r>
        <w:rPr>
          <w:iCs/>
          <w:sz w:val="24"/>
          <w:szCs w:val="24"/>
        </w:rPr>
        <w:t>Според П. Георгиев, Директор на „Т</w:t>
      </w:r>
      <w:r>
        <w:rPr>
          <w:iCs/>
          <w:sz w:val="24"/>
          <w:szCs w:val="24"/>
        </w:rPr>
        <w:t xml:space="preserve">оплофикация София“ ЕАД „Паричният поток от усвоявания, погасителни вноски, кафява добавка, спестен природен газ и въглеродни емисии показва положителна разлика от 20 млн. лева до края на периода на заема – 2036 г. „  Това е </w:t>
      </w:r>
      <w:r>
        <w:rPr>
          <w:sz w:val="24"/>
          <w:szCs w:val="24"/>
        </w:rPr>
        <w:t>възвръщаемост на инвестицията от</w:t>
      </w:r>
      <w:r>
        <w:rPr>
          <w:sz w:val="24"/>
          <w:szCs w:val="24"/>
        </w:rPr>
        <w:t xml:space="preserve"> 0,5% без </w:t>
      </w:r>
      <w:proofErr w:type="spellStart"/>
      <w:r>
        <w:rPr>
          <w:sz w:val="24"/>
          <w:szCs w:val="24"/>
        </w:rPr>
        <w:t>гранта</w:t>
      </w:r>
      <w:proofErr w:type="spellEnd"/>
      <w:r>
        <w:rPr>
          <w:sz w:val="24"/>
          <w:szCs w:val="24"/>
        </w:rPr>
        <w:t xml:space="preserve"> и 1,2% с него.</w:t>
      </w:r>
    </w:p>
    <w:p w:rsidR="008E0F40" w:rsidRDefault="009A7B03">
      <w:pPr>
        <w:spacing w:after="120"/>
        <w:rPr>
          <w:sz w:val="24"/>
          <w:szCs w:val="24"/>
        </w:rPr>
      </w:pPr>
      <w:r>
        <w:rPr>
          <w:sz w:val="24"/>
          <w:szCs w:val="24"/>
        </w:rPr>
        <w:t>Дори тази сметка да е точна, тази възвръщаемост е твърде ниска и далеч не оправдава  всички технологични, експлоатационни и пазарни рискове. Тя обаче далеч не е точна. Ето защо:</w:t>
      </w:r>
    </w:p>
    <w:p w:rsidR="008E0F40" w:rsidRDefault="009A7B03">
      <w:pPr>
        <w:numPr>
          <w:ilvl w:val="0"/>
          <w:numId w:val="1"/>
        </w:numPr>
        <w:spacing w:after="120"/>
        <w:ind w:left="284" w:right="-284" w:hanging="284"/>
        <w:rPr>
          <w:sz w:val="24"/>
          <w:szCs w:val="24"/>
        </w:rPr>
      </w:pPr>
      <w:r>
        <w:rPr>
          <w:sz w:val="24"/>
          <w:szCs w:val="24"/>
        </w:rPr>
        <w:t>Цената на газа и в момента е с 1/</w:t>
      </w:r>
      <w:r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 xml:space="preserve"> по-ниска от</w:t>
      </w:r>
      <w:r>
        <w:rPr>
          <w:sz w:val="24"/>
          <w:szCs w:val="24"/>
        </w:rPr>
        <w:t xml:space="preserve"> тази, с която са изчислени представените икономии и нямаме основание да очакваме толкова значително увеличение. Само това несъответствие напълно „изяжда“ възвращаемостта от около 1%.</w:t>
      </w:r>
    </w:p>
    <w:p w:rsidR="008E0F40" w:rsidRDefault="009A7B03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Няма потвърждение от </w:t>
      </w:r>
      <w:proofErr w:type="spellStart"/>
      <w:r>
        <w:rPr>
          <w:sz w:val="24"/>
          <w:szCs w:val="24"/>
        </w:rPr>
        <w:t>ДКЕВР</w:t>
      </w:r>
      <w:proofErr w:type="spellEnd"/>
      <w:r>
        <w:rPr>
          <w:sz w:val="24"/>
          <w:szCs w:val="24"/>
        </w:rPr>
        <w:t xml:space="preserve"> за допустимост на 4,5 млн. евро на година каф</w:t>
      </w:r>
      <w:r>
        <w:rPr>
          <w:sz w:val="24"/>
          <w:szCs w:val="24"/>
        </w:rPr>
        <w:t>ява надбавка. И нито българският бизнес, нито индивидуалните потребители са склонни да я плащат чрез сметките си за ток.</w:t>
      </w:r>
    </w:p>
    <w:p w:rsidR="008E0F40" w:rsidRDefault="009A7B03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Декларираната „твърда лихва от 1,5% при днешното състояние на пазара“ всъщност ще бъде уточнена след започването на експлоатация след 4</w:t>
      </w:r>
      <w:r>
        <w:rPr>
          <w:sz w:val="24"/>
          <w:szCs w:val="24"/>
        </w:rPr>
        <w:t xml:space="preserve"> г., когато </w:t>
      </w:r>
      <w:proofErr w:type="spellStart"/>
      <w:r>
        <w:rPr>
          <w:sz w:val="24"/>
          <w:szCs w:val="24"/>
          <w:lang w:val="en-US"/>
        </w:rPr>
        <w:t>EURIBOR</w:t>
      </w:r>
      <w:proofErr w:type="spellEnd"/>
      <w:r>
        <w:rPr>
          <w:sz w:val="24"/>
          <w:szCs w:val="24"/>
          <w:lang w:val="en-US"/>
        </w:rPr>
        <w:t>/</w:t>
      </w:r>
      <w:proofErr w:type="spellStart"/>
      <w:r>
        <w:rPr>
          <w:sz w:val="24"/>
          <w:szCs w:val="24"/>
          <w:lang w:val="en-US"/>
        </w:rPr>
        <w:t>ISDAFIX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може да има други, по-вероятно по-високи, стойности. </w:t>
      </w:r>
    </w:p>
    <w:p w:rsidR="008E0F40" w:rsidRDefault="009A7B03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Суровинна обезпеченост: „Предвидено е съоръжението да бъде натоварвано </w:t>
      </w:r>
      <w:r>
        <w:rPr>
          <w:bCs/>
          <w:sz w:val="24"/>
          <w:szCs w:val="24"/>
        </w:rPr>
        <w:t>поетапно</w:t>
      </w:r>
      <w:r>
        <w:rPr>
          <w:sz w:val="24"/>
          <w:szCs w:val="24"/>
        </w:rPr>
        <w:t xml:space="preserve">“ </w:t>
      </w:r>
      <w:r>
        <w:rPr>
          <w:iCs/>
          <w:sz w:val="24"/>
          <w:szCs w:val="24"/>
        </w:rPr>
        <w:t>(Й. Христова, 28.03.2017), т.е. първите години то няма да работи на максимален капацитет. Осв</w:t>
      </w:r>
      <w:r>
        <w:rPr>
          <w:iCs/>
          <w:sz w:val="24"/>
          <w:szCs w:val="24"/>
        </w:rPr>
        <w:t xml:space="preserve">ен това </w:t>
      </w:r>
      <w:r>
        <w:rPr>
          <w:sz w:val="24"/>
          <w:szCs w:val="24"/>
        </w:rPr>
        <w:t>ще бъдат изгаряни 180 000 тона отпадъци на година. Засега в София няма такова количество, следователно ще горим и чужд боклук. Неизвестно чии и на каква цена.</w:t>
      </w:r>
    </w:p>
    <w:p w:rsidR="008E0F40" w:rsidRDefault="009A7B03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Цена на подземното депониране в Германия на 8240 т. опасни отпадъци е 160-</w:t>
      </w:r>
      <w:r>
        <w:rPr>
          <w:sz w:val="24"/>
          <w:szCs w:val="24"/>
          <w:lang w:val="en-US"/>
        </w:rPr>
        <w:t xml:space="preserve">270 </w:t>
      </w:r>
      <w:r>
        <w:rPr>
          <w:sz w:val="24"/>
          <w:szCs w:val="24"/>
        </w:rPr>
        <w:t>евро на тон</w:t>
      </w:r>
      <w:r>
        <w:rPr>
          <w:sz w:val="24"/>
          <w:szCs w:val="24"/>
        </w:rPr>
        <w:t xml:space="preserve">, към които трябва да добавим и транспорт от 150 евро на тон. Това е </w:t>
      </w:r>
      <w:r>
        <w:rPr>
          <w:iCs/>
          <w:sz w:val="24"/>
          <w:szCs w:val="24"/>
        </w:rPr>
        <w:t xml:space="preserve">около 6 млн. лева, което </w:t>
      </w:r>
      <w:r>
        <w:rPr>
          <w:sz w:val="24"/>
          <w:szCs w:val="24"/>
        </w:rPr>
        <w:t xml:space="preserve">прави съмнително твърдението „Оперативните разходи на съоръжението са 6,9 млн. лева на година и включват депонирането в Германия“ </w:t>
      </w:r>
      <w:r>
        <w:rPr>
          <w:iCs/>
          <w:sz w:val="24"/>
          <w:szCs w:val="24"/>
        </w:rPr>
        <w:t>(Й. Христова, 28.03.2017).</w:t>
      </w:r>
    </w:p>
    <w:p w:rsidR="008E0F40" w:rsidRDefault="009A7B03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Твърди се че „общата енергийна ефективност на съоръжението е над 90%“. Ефективността на </w:t>
      </w:r>
      <w:proofErr w:type="spellStart"/>
      <w:r>
        <w:rPr>
          <w:sz w:val="24"/>
          <w:szCs w:val="24"/>
        </w:rPr>
        <w:t>водогрейните</w:t>
      </w:r>
      <w:proofErr w:type="spellEnd"/>
      <w:r>
        <w:rPr>
          <w:sz w:val="24"/>
          <w:szCs w:val="24"/>
        </w:rPr>
        <w:t xml:space="preserve"> котли на газ е</w:t>
      </w:r>
      <w:r>
        <w:rPr>
          <w:sz w:val="24"/>
          <w:szCs w:val="24"/>
          <w:lang w:val="en-US"/>
        </w:rPr>
        <w:t xml:space="preserve"> 99%</w:t>
      </w:r>
      <w:r>
        <w:rPr>
          <w:sz w:val="24"/>
          <w:szCs w:val="24"/>
        </w:rPr>
        <w:t>. В този смисъл, в сметките на СО икономията на газ намалена ли е с коефициент 1,08? И това ще намали рентабилността с 10%, което също ще</w:t>
      </w:r>
      <w:r>
        <w:rPr>
          <w:sz w:val="24"/>
          <w:szCs w:val="24"/>
        </w:rPr>
        <w:t xml:space="preserve"> стопи  печалбата от 1%.</w:t>
      </w:r>
    </w:p>
    <w:p w:rsidR="008E0F40" w:rsidRDefault="009A7B03">
      <w:pPr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Пропуснати ползи:</w:t>
      </w:r>
    </w:p>
    <w:p w:rsidR="008E0F40" w:rsidRDefault="009A7B03">
      <w:pPr>
        <w:pStyle w:val="ListParagraph"/>
        <w:numPr>
          <w:ilvl w:val="0"/>
          <w:numId w:val="2"/>
        </w:numPr>
        <w:spacing w:after="120"/>
        <w:ind w:left="567" w:hanging="284"/>
        <w:rPr>
          <w:sz w:val="24"/>
          <w:szCs w:val="24"/>
        </w:rPr>
      </w:pPr>
      <w:r>
        <w:rPr>
          <w:sz w:val="24"/>
          <w:szCs w:val="24"/>
        </w:rPr>
        <w:t>инсталацията заема трайно 15 715</w:t>
      </w:r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кв.м. площадка с пазарна стойност над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3 млн. евро;</w:t>
      </w:r>
    </w:p>
    <w:p w:rsidR="008E0F40" w:rsidRDefault="009A7B03">
      <w:pPr>
        <w:pStyle w:val="ListParagraph"/>
        <w:numPr>
          <w:ilvl w:val="0"/>
          <w:numId w:val="2"/>
        </w:numPr>
        <w:spacing w:after="120"/>
        <w:ind w:left="567" w:hanging="284"/>
        <w:rPr>
          <w:sz w:val="24"/>
          <w:szCs w:val="24"/>
        </w:rPr>
      </w:pPr>
      <w:r>
        <w:rPr>
          <w:sz w:val="24"/>
          <w:szCs w:val="24"/>
        </w:rPr>
        <w:t>възпрепятства се развитието на града в северна посока (тежкотоварен трафик, замърсяване, психологически фактор) и се засилва дисб</w:t>
      </w:r>
      <w:r>
        <w:rPr>
          <w:sz w:val="24"/>
          <w:szCs w:val="24"/>
        </w:rPr>
        <w:t>аланса север/юг;</w:t>
      </w:r>
    </w:p>
    <w:p w:rsidR="008E0F40" w:rsidRDefault="009A7B03">
      <w:pPr>
        <w:pStyle w:val="ListParagraph"/>
        <w:numPr>
          <w:ilvl w:val="0"/>
          <w:numId w:val="2"/>
        </w:numPr>
        <w:spacing w:after="120"/>
        <w:ind w:left="568" w:hanging="284"/>
        <w:rPr>
          <w:sz w:val="24"/>
          <w:szCs w:val="24"/>
        </w:rPr>
      </w:pPr>
      <w:r>
        <w:rPr>
          <w:sz w:val="24"/>
          <w:szCs w:val="24"/>
          <w:lang w:val="ru-RU"/>
        </w:rPr>
        <w:t>„безплатният“ грант на ЕС, вложен в този проект, оставя други приоритетни оси недофинансирани: мерките за чист въздух, пречистване на води, биоразнообразие, които или ще заплатим със свои средства, или ще останат нереализирани.</w:t>
      </w:r>
    </w:p>
    <w:p w:rsidR="008E0F40" w:rsidRDefault="009A7B03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Огромни рис</w:t>
      </w:r>
      <w:r>
        <w:rPr>
          <w:sz w:val="24"/>
          <w:szCs w:val="24"/>
        </w:rPr>
        <w:t>кове от забавяне и оскъпяване в строителната фаза и аварии и принудителни престои в експлоатационната фаза, които са често срещани при подобен тип съоръжения.</w:t>
      </w:r>
    </w:p>
    <w:p w:rsidR="008E0F40" w:rsidRDefault="009A7B03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Неизвестни разходи за извеждане от експлоатация на инсталацията.</w:t>
      </w:r>
    </w:p>
    <w:p w:rsidR="008E0F40" w:rsidRDefault="009A7B03">
      <w:pPr>
        <w:numPr>
          <w:ilvl w:val="0"/>
          <w:numId w:val="1"/>
        </w:numPr>
        <w:tabs>
          <w:tab w:val="left" w:pos="426"/>
        </w:tabs>
        <w:spacing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Създаване на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инсенераторо-центрични</w:t>
      </w:r>
      <w:proofErr w:type="spellEnd"/>
      <w:r>
        <w:rPr>
          <w:sz w:val="24"/>
          <w:szCs w:val="24"/>
        </w:rPr>
        <w:t>“ модели за управление на отпадъците с цел да се оправдае инвестицията. Освен че е косвено субсидиране на модела, това ще има силно негативен ефект върху разделното събиране.</w:t>
      </w:r>
    </w:p>
    <w:p w:rsidR="008E0F40" w:rsidRDefault="009A7B03">
      <w:pPr>
        <w:spacing w:after="1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Съвсем друг е въпросът дали дружество, като "Топлофикация </w:t>
      </w:r>
      <w:r>
        <w:rPr>
          <w:rFonts w:cs="Tahoma"/>
          <w:sz w:val="24"/>
          <w:szCs w:val="24"/>
        </w:rPr>
        <w:t>София" ЕАД, с годишна загуба от около 40 млн. лева и общи задължения от 640 млн. лева може да реализира тази доходност на проекта и какво ще се случи с връщането на дълга при евентуално изпадане в несъстоятелност или приватизация на дружеството.</w:t>
      </w:r>
    </w:p>
    <w:p w:rsidR="008E0F40" w:rsidRDefault="008E0F40">
      <w:pPr>
        <w:spacing w:after="120"/>
        <w:rPr>
          <w:sz w:val="24"/>
          <w:szCs w:val="24"/>
        </w:rPr>
      </w:pPr>
    </w:p>
    <w:p w:rsidR="008E0F40" w:rsidRDefault="009A7B0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Алтернати</w:t>
      </w:r>
      <w:r>
        <w:rPr>
          <w:b/>
          <w:sz w:val="24"/>
          <w:szCs w:val="24"/>
        </w:rPr>
        <w:t>вите</w:t>
      </w:r>
    </w:p>
    <w:p w:rsidR="008E0F40" w:rsidRDefault="009A7B03">
      <w:pPr>
        <w:pStyle w:val="NormalWeb"/>
        <w:spacing w:beforeAutospacing="0" w:after="120" w:afterAutospacing="0" w:line="276" w:lineRule="auto"/>
      </w:pPr>
      <w:r>
        <w:rPr>
          <w:rFonts w:asciiTheme="minorHAnsi" w:hAnsiTheme="minorHAnsi" w:cstheme="minorBidi"/>
        </w:rPr>
        <w:t xml:space="preserve">Бъдещето на </w:t>
      </w:r>
      <w:proofErr w:type="spellStart"/>
      <w:r>
        <w:rPr>
          <w:rFonts w:asciiTheme="minorHAnsi" w:hAnsiTheme="minorHAnsi" w:cstheme="minorBidi"/>
        </w:rPr>
        <w:t>инсинерирането</w:t>
      </w:r>
      <w:proofErr w:type="spellEnd"/>
      <w:r>
        <w:rPr>
          <w:rFonts w:asciiTheme="minorHAnsi" w:hAnsiTheme="minorHAnsi" w:cstheme="minorBidi"/>
        </w:rPr>
        <w:t xml:space="preserve"> в Европа е доста несигурно. То е в процес на преосмисляне и съобразяване с няколко фактора:</w:t>
      </w:r>
    </w:p>
    <w:p w:rsidR="008E0F40" w:rsidRDefault="009A7B03">
      <w:pPr>
        <w:pStyle w:val="NormalWeb"/>
        <w:numPr>
          <w:ilvl w:val="0"/>
          <w:numId w:val="3"/>
        </w:numPr>
        <w:spacing w:beforeAutospacing="0" w:after="120" w:afterAutospacing="0" w:line="276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 w:cstheme="minorBidi"/>
        </w:rPr>
        <w:t xml:space="preserve">Пакета от мерки за кръгова икономика, които дават ясна и дългосрочна амбициозна визия за рециклирането и депонирането на отпадъци с </w:t>
      </w:r>
      <w:r>
        <w:rPr>
          <w:rFonts w:asciiTheme="minorHAnsi" w:hAnsiTheme="minorHAnsi" w:cstheme="minorBidi"/>
        </w:rPr>
        <w:t>точни количествени параметри на всяка страна-член на ЕС.</w:t>
      </w:r>
      <w:r>
        <w:rPr>
          <w:rFonts w:asciiTheme="minorHAnsi" w:hAnsiTheme="minorHAnsi" w:cs="Tahoma"/>
        </w:rPr>
        <w:t xml:space="preserve"> Трябва да бъдат достигнати  65% рециклиране на битовите отпадъци и 75% рециклиране на отпадъците от опаковки.</w:t>
      </w:r>
    </w:p>
    <w:p w:rsidR="008E0F40" w:rsidRDefault="009A7B03">
      <w:pPr>
        <w:pStyle w:val="NormalWeb"/>
        <w:numPr>
          <w:ilvl w:val="0"/>
          <w:numId w:val="3"/>
        </w:numPr>
        <w:spacing w:beforeAutospacing="0" w:after="120" w:afterAutospacing="0" w:line="276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Парижкото споразумение,  отразено у нас в </w:t>
      </w:r>
      <w:r>
        <w:rPr>
          <w:rFonts w:asciiTheme="minorHAnsi" w:hAnsiTheme="minorHAnsi" w:cstheme="minorBidi"/>
        </w:rPr>
        <w:t xml:space="preserve">Трети национален план за действие по изменение </w:t>
      </w:r>
      <w:r>
        <w:rPr>
          <w:rFonts w:asciiTheme="minorHAnsi" w:hAnsiTheme="minorHAnsi" w:cstheme="minorBidi"/>
        </w:rPr>
        <w:t>на климата с конкретни мерки за намаляване на емисиите парникови газове във всички сектори.</w:t>
      </w:r>
    </w:p>
    <w:p w:rsidR="008E0F40" w:rsidRDefault="009A7B03">
      <w:pPr>
        <w:pStyle w:val="NormalWeb"/>
        <w:numPr>
          <w:ilvl w:val="0"/>
          <w:numId w:val="3"/>
        </w:numPr>
        <w:spacing w:beforeAutospacing="0" w:after="120" w:afterAutospacing="0" w:line="276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 w:cstheme="minorBidi"/>
        </w:rPr>
        <w:t>Интереса на бизнеса от устойчиво предлагане на суровини и материали.</w:t>
      </w:r>
    </w:p>
    <w:p w:rsidR="008E0F40" w:rsidRDefault="009A7B03">
      <w:pPr>
        <w:pStyle w:val="NormalWeb"/>
        <w:numPr>
          <w:ilvl w:val="0"/>
          <w:numId w:val="3"/>
        </w:numPr>
        <w:spacing w:beforeAutospacing="0" w:after="120" w:afterAutospacing="0" w:line="276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Интереса на гражданите </w:t>
      </w:r>
      <w:r>
        <w:rPr>
          <w:rFonts w:asciiTheme="minorHAnsi" w:hAnsiTheme="minorHAnsi" w:cstheme="minorBidi"/>
        </w:rPr>
        <w:t>от здравословна градска среда и прозрачно управление на публичните финан</w:t>
      </w:r>
      <w:r>
        <w:rPr>
          <w:rFonts w:asciiTheme="minorHAnsi" w:hAnsiTheme="minorHAnsi" w:cstheme="minorBidi"/>
        </w:rPr>
        <w:t>си.</w:t>
      </w:r>
    </w:p>
    <w:p w:rsidR="009A7B03" w:rsidRDefault="009A7B03">
      <w:pPr>
        <w:spacing w:after="120"/>
        <w:rPr>
          <w:sz w:val="24"/>
          <w:szCs w:val="24"/>
        </w:rPr>
      </w:pPr>
      <w:r>
        <w:rPr>
          <w:sz w:val="24"/>
          <w:szCs w:val="24"/>
        </w:rPr>
        <w:t>В началото на 2017 г. Европейската комисия публикува насоки според които „</w:t>
      </w:r>
      <w:r>
        <w:rPr>
          <w:sz w:val="24"/>
          <w:szCs w:val="24"/>
        </w:rPr>
        <w:t>смесените отпадъци  да отпаднат като суровина за процесите за производство на енергия от отпадъци в резултат на задълженията за разделно събира</w:t>
      </w:r>
      <w:r>
        <w:rPr>
          <w:sz w:val="24"/>
          <w:szCs w:val="24"/>
        </w:rPr>
        <w:t xml:space="preserve">не и на по-амбициозните цели на ЕС за рециклиране. Поради тези причини на държавите членки се препоръчва постепенно да прекратят публичната подкрепа за оползотворяването на енергия от смесени отпадъци“. </w:t>
      </w:r>
    </w:p>
    <w:p w:rsidR="008E0F40" w:rsidRDefault="009A7B03">
      <w:pPr>
        <w:spacing w:after="120"/>
      </w:pPr>
      <w:r>
        <w:rPr>
          <w:sz w:val="24"/>
          <w:szCs w:val="24"/>
        </w:rPr>
        <w:t xml:space="preserve">Според ЕК „за да се насърчават иновациите и да се избегнат евентуални икономически загуби поради блокирани активи, инвестициите в нов капацитет за третиране на отпадъци трябва да бъдат поставени в рамка на </w:t>
      </w:r>
      <w:r>
        <w:rPr>
          <w:sz w:val="24"/>
          <w:szCs w:val="24"/>
        </w:rPr>
        <w:t>дългосрочна перспектива за кръгова икономика и да бъдат съгласувани с йерархията на ЕС за отпадъците, в която вариантите за управление на отпадъците се подреждат според тяхната устойчивост и първостепенен приоритет се дава на предотвратяването на генериран</w:t>
      </w:r>
      <w:r>
        <w:rPr>
          <w:sz w:val="24"/>
          <w:szCs w:val="24"/>
        </w:rPr>
        <w:t>ето на отпадъци и на тяхното рециклиране”.</w:t>
      </w:r>
      <w:bookmarkStart w:id="0" w:name="_GoBack"/>
      <w:bookmarkEnd w:id="0"/>
    </w:p>
    <w:p w:rsidR="008E0F40" w:rsidRDefault="009A7B03">
      <w:pPr>
        <w:spacing w:after="120"/>
      </w:pPr>
      <w:r>
        <w:rPr>
          <w:sz w:val="24"/>
          <w:szCs w:val="24"/>
        </w:rPr>
        <w:t>Ясно е, че с парите, предвидени за инсталацията,  може да се изгради цялата инфраструктура на работеща система за разделно събиране на София. Това е и реалната алтернатива на изгарянето на отпадъци – ум</w:t>
      </w:r>
      <w:r>
        <w:rPr>
          <w:sz w:val="24"/>
          <w:szCs w:val="24"/>
        </w:rPr>
        <w:t>ното им управление. То включва три основни паралелни и взаимно обвързани дейности:</w:t>
      </w:r>
    </w:p>
    <w:p w:rsidR="008E0F40" w:rsidRDefault="009A7B03">
      <w:pPr>
        <w:pStyle w:val="ListParagraph"/>
        <w:numPr>
          <w:ilvl w:val="0"/>
          <w:numId w:val="4"/>
        </w:numPr>
        <w:spacing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Инициативи за предотвратяване на образуването на отпадъци.</w:t>
      </w:r>
    </w:p>
    <w:p w:rsidR="008E0F40" w:rsidRDefault="009A7B03">
      <w:pPr>
        <w:pStyle w:val="ListParagraph"/>
        <w:spacing w:after="120"/>
        <w:ind w:left="284"/>
        <w:rPr>
          <w:sz w:val="24"/>
          <w:szCs w:val="24"/>
        </w:rPr>
      </w:pPr>
      <w:r>
        <w:rPr>
          <w:sz w:val="24"/>
          <w:szCs w:val="24"/>
        </w:rPr>
        <w:t>Предотвратяването и повторната употреба спестяват значителни обществени средства и ценно място в депата за отпа</w:t>
      </w:r>
      <w:r>
        <w:rPr>
          <w:sz w:val="24"/>
          <w:szCs w:val="24"/>
        </w:rPr>
        <w:t>дъци. Факт е, че най-добрият отпадък е този, който не е образуван.</w:t>
      </w:r>
    </w:p>
    <w:p w:rsidR="008E0F40" w:rsidRDefault="009A7B03">
      <w:pPr>
        <w:pStyle w:val="ListParagraph"/>
        <w:spacing w:after="12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Тук могат да предприемат редица мерки, като забрана на </w:t>
      </w:r>
      <w:proofErr w:type="spellStart"/>
      <w:r>
        <w:rPr>
          <w:sz w:val="24"/>
          <w:szCs w:val="24"/>
        </w:rPr>
        <w:t>полиетиленовите</w:t>
      </w:r>
      <w:proofErr w:type="spellEnd"/>
      <w:r>
        <w:rPr>
          <w:sz w:val="24"/>
          <w:szCs w:val="24"/>
        </w:rPr>
        <w:t xml:space="preserve"> пазарски торбички, ограничаване на използването на изделия за еднократна употреба, центрове за поправка на уреди, база</w:t>
      </w:r>
      <w:r>
        <w:rPr>
          <w:sz w:val="24"/>
          <w:szCs w:val="24"/>
        </w:rPr>
        <w:t>ри за обмен на употребявани вещи и т.н.</w:t>
      </w:r>
    </w:p>
    <w:p w:rsidR="008E0F40" w:rsidRDefault="009A7B03">
      <w:pPr>
        <w:pStyle w:val="ListParagraph"/>
        <w:numPr>
          <w:ilvl w:val="0"/>
          <w:numId w:val="4"/>
        </w:numPr>
        <w:spacing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Разделно събиране и материално оползотворяване на отпадъците.</w:t>
      </w:r>
    </w:p>
    <w:p w:rsidR="008E0F40" w:rsidRDefault="009A7B03">
      <w:pPr>
        <w:pStyle w:val="ListParagraph"/>
        <w:spacing w:after="12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При добре организирано разделно събиране на отпадъците още при източника е възможно постигане на рециклиране и </w:t>
      </w:r>
      <w:proofErr w:type="spellStart"/>
      <w:r>
        <w:rPr>
          <w:sz w:val="24"/>
          <w:szCs w:val="24"/>
        </w:rPr>
        <w:t>компостиране</w:t>
      </w:r>
      <w:proofErr w:type="spellEnd"/>
      <w:r>
        <w:rPr>
          <w:sz w:val="24"/>
          <w:szCs w:val="24"/>
        </w:rPr>
        <w:t xml:space="preserve"> на до 70% от тях. </w:t>
      </w:r>
    </w:p>
    <w:p w:rsidR="008E0F40" w:rsidRDefault="009A7B03">
      <w:pPr>
        <w:pStyle w:val="ListParagraph"/>
        <w:spacing w:after="120"/>
        <w:ind w:left="284"/>
        <w:rPr>
          <w:sz w:val="24"/>
          <w:szCs w:val="24"/>
        </w:rPr>
      </w:pPr>
      <w:r>
        <w:rPr>
          <w:sz w:val="24"/>
          <w:szCs w:val="24"/>
        </w:rPr>
        <w:t>Ключов факт</w:t>
      </w:r>
      <w:r>
        <w:rPr>
          <w:sz w:val="24"/>
          <w:szCs w:val="24"/>
        </w:rPr>
        <w:t>ор за постигане на висока ефективност е излизане от анонимното събиране с улични контейнери и преминаване към  събиране „от врата на врата“. Малко по-високите оперативни разходи се компенсират от значително по-високите приходи от продажба на събраните мате</w:t>
      </w:r>
      <w:r>
        <w:rPr>
          <w:sz w:val="24"/>
          <w:szCs w:val="24"/>
        </w:rPr>
        <w:t xml:space="preserve">риали. Получава се система, която може да се </w:t>
      </w:r>
      <w:proofErr w:type="spellStart"/>
      <w:r>
        <w:rPr>
          <w:sz w:val="24"/>
          <w:szCs w:val="24"/>
        </w:rPr>
        <w:t>самофинансира</w:t>
      </w:r>
      <w:proofErr w:type="spellEnd"/>
      <w:r>
        <w:rPr>
          <w:sz w:val="24"/>
          <w:szCs w:val="24"/>
        </w:rPr>
        <w:t xml:space="preserve"> и позволява да се намали таксата „битови отпадъци“ на потребителите. В момента системата за събиране на отпадъци струва 130 лв./жител или 386 лв./тон, което е твърде висока цена.</w:t>
      </w:r>
    </w:p>
    <w:p w:rsidR="008E0F40" w:rsidRDefault="009A7B03">
      <w:pPr>
        <w:pStyle w:val="ListParagraph"/>
        <w:numPr>
          <w:ilvl w:val="0"/>
          <w:numId w:val="4"/>
        </w:numPr>
        <w:spacing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Насърчаване на общ</w:t>
      </w:r>
      <w:r>
        <w:rPr>
          <w:sz w:val="24"/>
          <w:szCs w:val="24"/>
        </w:rPr>
        <w:t>ественото участие в тази инициатива чрез съчетание от регулаторни, икономически и доброволни мерки.</w:t>
      </w:r>
    </w:p>
    <w:p w:rsidR="008E0F40" w:rsidRDefault="009A7B03">
      <w:pPr>
        <w:spacing w:after="120"/>
        <w:ind w:left="284"/>
        <w:rPr>
          <w:sz w:val="24"/>
          <w:szCs w:val="24"/>
        </w:rPr>
      </w:pPr>
      <w:r>
        <w:rPr>
          <w:sz w:val="24"/>
          <w:szCs w:val="24"/>
        </w:rPr>
        <w:t>Прилагането на подхода „плащаш повече, ако изхвърляш повече“ през системата за общински данъци и такси е достатъчно силен стимул за значително намаляване на</w:t>
      </w:r>
      <w:r>
        <w:rPr>
          <w:sz w:val="24"/>
          <w:szCs w:val="24"/>
        </w:rPr>
        <w:t xml:space="preserve"> потока отпадъците за депониране и изваждане от него на на </w:t>
      </w:r>
      <w:proofErr w:type="spellStart"/>
      <w:r>
        <w:rPr>
          <w:sz w:val="24"/>
          <w:szCs w:val="24"/>
        </w:rPr>
        <w:t>рециклируемите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компостируеми</w:t>
      </w:r>
      <w:proofErr w:type="spellEnd"/>
      <w:r>
        <w:rPr>
          <w:sz w:val="24"/>
          <w:szCs w:val="24"/>
        </w:rPr>
        <w:t xml:space="preserve"> материали. Той ще реши и проблемите, свързани със нередното субсидиране на домакинствата от страна на бизнеса. </w:t>
      </w:r>
    </w:p>
    <w:p w:rsidR="008E0F40" w:rsidRDefault="009A7B03">
      <w:pPr>
        <w:spacing w:after="120"/>
        <w:ind w:left="284"/>
        <w:rPr>
          <w:sz w:val="24"/>
          <w:szCs w:val="24"/>
        </w:rPr>
      </w:pPr>
      <w:r>
        <w:rPr>
          <w:sz w:val="24"/>
          <w:szCs w:val="24"/>
        </w:rPr>
        <w:t>Задължително е и провеждането на ефективни и мащабни и</w:t>
      </w:r>
      <w:r>
        <w:rPr>
          <w:sz w:val="24"/>
          <w:szCs w:val="24"/>
        </w:rPr>
        <w:t xml:space="preserve">нформационно-образователни кампании, насочени към домакинствата и предимно към най-младите. </w:t>
      </w:r>
    </w:p>
    <w:p w:rsidR="008E0F40" w:rsidRDefault="009A7B03">
      <w:pPr>
        <w:spacing w:after="120"/>
        <w:rPr>
          <w:sz w:val="24"/>
          <w:szCs w:val="24"/>
        </w:rPr>
      </w:pPr>
      <w:r>
        <w:rPr>
          <w:sz w:val="24"/>
          <w:szCs w:val="24"/>
        </w:rPr>
        <w:t>Изграждането на завод за изгаряне отпадъци насред София трябва да бъде предотвратено, така както вече бе направено в Пазарджик с решение на ВАС и в Каспичан с рефе</w:t>
      </w:r>
      <w:r>
        <w:rPr>
          <w:sz w:val="24"/>
          <w:szCs w:val="24"/>
        </w:rPr>
        <w:t xml:space="preserve">рендум. </w:t>
      </w:r>
      <w:r>
        <w:rPr>
          <w:rFonts w:eastAsia="Times New Roman" w:cs="Arial"/>
          <w:sz w:val="24"/>
          <w:szCs w:val="24"/>
          <w:lang w:eastAsia="bg-BG"/>
        </w:rPr>
        <w:t xml:space="preserve">Трябва да попречим на общинско ръководство, което </w:t>
      </w:r>
      <w:r>
        <w:rPr>
          <w:sz w:val="24"/>
          <w:szCs w:val="24"/>
        </w:rPr>
        <w:t xml:space="preserve"> „не предупреждава за въздуха, за да не питате за мерки“</w:t>
      </w:r>
      <w:r>
        <w:rPr>
          <w:iCs/>
          <w:sz w:val="24"/>
          <w:szCs w:val="24"/>
        </w:rPr>
        <w:t xml:space="preserve"> (Й. </w:t>
      </w:r>
      <w:proofErr w:type="spellStart"/>
      <w:r>
        <w:rPr>
          <w:iCs/>
          <w:sz w:val="24"/>
          <w:szCs w:val="24"/>
        </w:rPr>
        <w:t>Фандъкова</w:t>
      </w:r>
      <w:proofErr w:type="spellEnd"/>
      <w:r>
        <w:rPr>
          <w:iCs/>
          <w:sz w:val="24"/>
          <w:szCs w:val="24"/>
        </w:rPr>
        <w:t>, 8.12.2017) да ни бърка и в здравето и в джоба.</w:t>
      </w:r>
      <w:r>
        <w:rPr>
          <w:rFonts w:eastAsia="Times New Roman" w:cs="Arial"/>
          <w:sz w:val="24"/>
          <w:szCs w:val="24"/>
          <w:lang w:eastAsia="bg-BG"/>
        </w:rPr>
        <w:br/>
      </w:r>
    </w:p>
    <w:p w:rsidR="008E0F40" w:rsidRDefault="008E0F40">
      <w:pPr>
        <w:spacing w:after="120"/>
      </w:pPr>
    </w:p>
    <w:sectPr w:rsidR="008E0F4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3781"/>
    <w:multiLevelType w:val="multilevel"/>
    <w:tmpl w:val="1C8EF66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E39FC"/>
    <w:multiLevelType w:val="multilevel"/>
    <w:tmpl w:val="7712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52CE1"/>
    <w:multiLevelType w:val="multilevel"/>
    <w:tmpl w:val="F4FC0F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C1F1312"/>
    <w:multiLevelType w:val="multilevel"/>
    <w:tmpl w:val="839465A0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4">
    <w:nsid w:val="598A5CF3"/>
    <w:multiLevelType w:val="multilevel"/>
    <w:tmpl w:val="1C32F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40"/>
    <w:rsid w:val="008E0F40"/>
    <w:rsid w:val="009A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6371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F06D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5725F"/>
    <w:rPr>
      <w:b/>
      <w:bCs/>
    </w:rPr>
  </w:style>
  <w:style w:type="character" w:styleId="Emphasis">
    <w:name w:val="Emphasis"/>
    <w:basedOn w:val="DefaultParagraphFont"/>
    <w:uiPriority w:val="20"/>
    <w:qFormat/>
    <w:rsid w:val="00CA683E"/>
    <w:rPr>
      <w:i/>
      <w:i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color w:val="00000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5779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271FC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6371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F06D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5725F"/>
    <w:rPr>
      <w:b/>
      <w:bCs/>
    </w:rPr>
  </w:style>
  <w:style w:type="character" w:styleId="Emphasis">
    <w:name w:val="Emphasis"/>
    <w:basedOn w:val="DefaultParagraphFont"/>
    <w:uiPriority w:val="20"/>
    <w:qFormat/>
    <w:rsid w:val="00CA683E"/>
    <w:rPr>
      <w:i/>
      <w:i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color w:val="00000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5779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271FC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5</Pages>
  <Words>1775</Words>
  <Characters>10122</Characters>
  <Application>Microsoft Office Word</Application>
  <DocSecurity>0</DocSecurity>
  <Lines>84</Lines>
  <Paragraphs>23</Paragraphs>
  <ScaleCrop>false</ScaleCrop>
  <Company/>
  <LinksUpToDate>false</LinksUpToDate>
  <CharactersWithSpaces>11874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Georgiev</dc:creator>
  <dc:description/>
  <cp:lastModifiedBy>Emil Georgiev</cp:lastModifiedBy>
  <cp:revision>19</cp:revision>
  <dcterms:created xsi:type="dcterms:W3CDTF">2018-03-29T05:29:00Z</dcterms:created>
  <dcterms:modified xsi:type="dcterms:W3CDTF">2018-03-31T04:25:00Z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